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exact"/>
        <w:jc w:val="center"/>
        <w:rPr>
          <w:b/>
          <w:sz w:val="36"/>
          <w:szCs w:val="36"/>
          <w:lang w:eastAsia="zh-CN"/>
        </w:rPr>
      </w:pPr>
      <w:bookmarkStart w:id="0" w:name="_GoBack"/>
      <w:bookmarkEnd w:id="0"/>
      <w:r>
        <w:rPr>
          <w:rFonts w:hint="eastAsia"/>
          <w:b/>
          <w:sz w:val="36"/>
          <w:szCs w:val="36"/>
          <w:lang w:eastAsia="zh-CN"/>
        </w:rPr>
        <w:t>述 职 报 告</w:t>
      </w:r>
    </w:p>
    <w:p>
      <w:pPr>
        <w:spacing w:line="360" w:lineRule="exact"/>
        <w:ind w:firstLine="480" w:firstLineChars="200"/>
        <w:rPr>
          <w:lang w:eastAsia="zh-CN"/>
        </w:rPr>
      </w:pPr>
    </w:p>
    <w:p>
      <w:pPr>
        <w:spacing w:line="400" w:lineRule="exact"/>
        <w:ind w:firstLine="3220" w:firstLineChars="1150"/>
        <w:rPr>
          <w:lang w:eastAsia="zh-CN"/>
        </w:rPr>
      </w:pPr>
      <w:r>
        <w:rPr>
          <w:rFonts w:hint="eastAsia"/>
          <w:sz w:val="28"/>
          <w:szCs w:val="28"/>
          <w:lang w:eastAsia="zh-CN"/>
        </w:rPr>
        <w:t>研究生处     祖国颂</w:t>
      </w:r>
    </w:p>
    <w:p>
      <w:pPr>
        <w:spacing w:line="400" w:lineRule="exact"/>
        <w:ind w:firstLine="4200" w:firstLineChars="1750"/>
        <w:rPr>
          <w:lang w:eastAsia="zh-CN"/>
        </w:rPr>
      </w:pPr>
    </w:p>
    <w:p>
      <w:pPr>
        <w:spacing w:line="400" w:lineRule="exact"/>
        <w:ind w:firstLine="480" w:firstLineChars="200"/>
        <w:rPr>
          <w:lang w:eastAsia="zh-CN"/>
        </w:rPr>
      </w:pPr>
      <w:r>
        <w:rPr>
          <w:rFonts w:hint="eastAsia"/>
          <w:lang w:eastAsia="zh-CN"/>
        </w:rPr>
        <w:t>根据学校党委工作安排，现就2013年度主要工作情况述职如下：</w:t>
      </w:r>
    </w:p>
    <w:p>
      <w:pPr>
        <w:spacing w:line="400" w:lineRule="exact"/>
        <w:ind w:firstLine="480" w:firstLineChars="200"/>
        <w:rPr>
          <w:b/>
          <w:lang w:eastAsia="zh-CN"/>
        </w:rPr>
      </w:pPr>
      <w:r>
        <w:rPr>
          <w:rFonts w:hint="eastAsia"/>
          <w:lang w:eastAsia="zh-CN"/>
        </w:rPr>
        <w:t>一</w:t>
      </w:r>
      <w:r>
        <w:rPr>
          <w:rFonts w:hint="eastAsia"/>
          <w:b/>
          <w:lang w:eastAsia="zh-CN"/>
        </w:rPr>
        <w:t>、组织实施研究生学位点招生工作</w:t>
      </w:r>
    </w:p>
    <w:p>
      <w:pPr>
        <w:spacing w:line="400" w:lineRule="exact"/>
        <w:ind w:firstLine="480" w:firstLineChars="200"/>
        <w:rPr>
          <w:lang w:eastAsia="zh-CN"/>
        </w:rPr>
      </w:pPr>
      <w:r>
        <w:rPr>
          <w:rFonts w:hint="eastAsia"/>
          <w:lang w:eastAsia="zh-CN"/>
        </w:rPr>
        <w:t>2013年，是学校研究生工作扩规模、上层次不断取得新成绩的一年。自己能带领全处同志，认真思考、把握工作重心，根据我校学位点分布情况和学科特点，积极加强学位点建设，扩大学位点招生数量。</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1、组织完成了“闽南文化与两岸交流”服务国家特殊需求博士人才培养项目的招生、考试及录取工作，录取博士研究生2人。并进入了正常培养阶段。</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2、积极做好新增二级学科硕士点的招生、录取工作。</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根据漳州师范学院学科建设中长期发展规划的要求，调整与优化了学科结构和学位点布局。组织实施了中国语言文学一级学科下设“闽南民俗文化与民间文艺”、“闽南文化与家族社会”。数学一级学科下设“数理经济与数理金融”、“计算物理与数值分析”。心理学一级学科下设“人力资源管理心理学”。化学一级学科下设“化学生物学”等 新增设6个目录外二级学科招生点的招生录取工作。</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3、拓展教育硕士专业学位新增学科领域。在2012年4月校学位评定委员会表决通过新增14个学科领域，并决定分步开始招生。2013年新增教育管理、学科化学、学科历史、学科体育、心理健康、学科思想政治教育6个招生点完满完成招生工作。并组织实施了2014的新招生点的招生宣传工作。</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4、组织完成了面向港、澳、台招收硕士博士研究生工作，从2014年起执行。现已经完成了招生宣传工作，正在筹备下一步的考试录取工作。</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5、目前正在组织2013年增列硕士专业学位授权点的申报工作。</w:t>
      </w:r>
    </w:p>
    <w:p>
      <w:pPr>
        <w:spacing w:line="400" w:lineRule="exact"/>
        <w:ind w:firstLine="480" w:firstLineChars="200"/>
        <w:rPr>
          <w:lang w:eastAsia="zh-CN"/>
        </w:rPr>
      </w:pPr>
      <w:r>
        <w:rPr>
          <w:rFonts w:hint="eastAsia" w:ascii="仿宋_GB2312" w:hAnsi="宋体" w:cs="Tahoma"/>
          <w:color w:val="333333"/>
          <w:lang w:eastAsia="zh-CN"/>
        </w:rPr>
        <w:t>6、工作中针对具体问题能从全局出发，作好协调统筹工作，确保了研究生招生工作的顺利进行。</w:t>
      </w:r>
      <w:r>
        <w:rPr>
          <w:rFonts w:hint="eastAsia"/>
          <w:lang w:eastAsia="zh-CN"/>
        </w:rPr>
        <w:t>受学位点布局相对集中等影响，我校研究生招生始终被第一志愿考生少，调剂生源专业不对口等问题所困扰。面对实际问题，自己能带领全处同志积极调研、出谋划策，一方面加大招生宣传力度，另一方面及时调整招生政策，调动各学位点的招生积极性，吸引考生调剂到我校学习。</w:t>
      </w:r>
    </w:p>
    <w:p>
      <w:pPr>
        <w:spacing w:line="400" w:lineRule="exact"/>
        <w:ind w:firstLine="482" w:firstLineChars="200"/>
        <w:rPr>
          <w:b/>
          <w:lang w:eastAsia="zh-CN"/>
        </w:rPr>
      </w:pPr>
      <w:r>
        <w:rPr>
          <w:rFonts w:hint="eastAsia"/>
          <w:b/>
          <w:lang w:eastAsia="zh-CN"/>
        </w:rPr>
        <w:t>二、加强研究生管理，提高研究生培养质量</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1、为适应我校教育硕士培养模式改革需要，提高和保证研究生培养质量，组织2013年教育硕士招生单位集体研讨了培养方案及实施规划，对课程设置及实践环节进行了一定的改革。</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2、组织了一级学科负责人对目录外学位点的建设进行研讨，提出一些工作思路，并着手组织实施。</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 xml:space="preserve">3、为加强我校教育硕士导师队伍建设，2013年12月15日邀请国内专家到校讲学，为教育硕士培养、管理暨导师培训工作会议的召开作好准备。              </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3、加大改革力度，强化对学位论文质量的把关。在继续实施《闽南师范大学关于硕士研究生学位论文学术不端行为检测工作的暂行规定》和《闽南师范大学硕士研究生学位论文“双盲”评审暂行办法》的同时，2013年在充分调研论证的前提下，提出了从2014始，实施研究生毕业论文全盲审的工作设想，并准备组织实施，力争使这项工作有利于我校研究生培养质量的提高。做到公开、公正、透明。</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4、组织完成了2013届研究生的学位论文答辩及毕业工作。</w:t>
      </w:r>
    </w:p>
    <w:p>
      <w:pPr>
        <w:spacing w:line="400" w:lineRule="exact"/>
        <w:ind w:firstLine="482" w:firstLineChars="200"/>
        <w:rPr>
          <w:rFonts w:ascii="仿宋_GB2312" w:hAnsi="宋体" w:cs="Tahoma"/>
          <w:b/>
          <w:color w:val="333333"/>
          <w:lang w:eastAsia="zh-CN"/>
        </w:rPr>
      </w:pPr>
      <w:r>
        <w:rPr>
          <w:rFonts w:hint="eastAsia" w:ascii="仿宋_GB2312" w:hAnsi="宋体" w:cs="Tahoma"/>
          <w:b/>
          <w:color w:val="333333"/>
          <w:lang w:eastAsia="zh-CN"/>
        </w:rPr>
        <w:t>三、组织做好学科建设工作</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1、组织实施了学科建设常规工作。对继续实施学科建设与学术交流计划工作，改革学术交流经费使用办法，减少了工作环节。</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2、启动了一级学科评估工作计划，与四个省重点一级学科负责人研讨参加教育部评估工作的具体事宜。</w:t>
      </w:r>
    </w:p>
    <w:p>
      <w:pPr>
        <w:spacing w:line="400" w:lineRule="exact"/>
        <w:ind w:firstLine="480" w:firstLineChars="200"/>
        <w:rPr>
          <w:rFonts w:ascii="仿宋_GB2312" w:hAnsi="宋体" w:cs="Tahoma"/>
          <w:color w:val="333333"/>
          <w:lang w:eastAsia="zh-CN"/>
        </w:rPr>
      </w:pPr>
      <w:r>
        <w:rPr>
          <w:rFonts w:hint="eastAsia" w:ascii="仿宋_GB2312" w:hAnsi="宋体" w:cs="Tahoma"/>
          <w:color w:val="333333"/>
          <w:lang w:eastAsia="zh-CN"/>
        </w:rPr>
        <w:t>3、组织全处人员就研究生处的今后重点工作进行研讨，思考今后工作的重心及努力方向。</w:t>
      </w:r>
    </w:p>
    <w:p>
      <w:pPr>
        <w:spacing w:line="400" w:lineRule="exact"/>
        <w:ind w:firstLine="482" w:firstLineChars="200"/>
        <w:rPr>
          <w:b/>
          <w:lang w:eastAsia="zh-CN"/>
        </w:rPr>
      </w:pPr>
      <w:r>
        <w:rPr>
          <w:rFonts w:hint="eastAsia"/>
          <w:b/>
          <w:lang w:eastAsia="zh-CN"/>
        </w:rPr>
        <w:t>三、工作中需要改进的地方</w:t>
      </w:r>
    </w:p>
    <w:p>
      <w:pPr>
        <w:spacing w:line="400" w:lineRule="exact"/>
        <w:ind w:firstLine="480" w:firstLineChars="200"/>
        <w:rPr>
          <w:lang w:eastAsia="zh-CN"/>
        </w:rPr>
      </w:pPr>
      <w:r>
        <w:rPr>
          <w:rFonts w:hint="eastAsia"/>
          <w:lang w:eastAsia="zh-CN"/>
        </w:rPr>
        <w:t>1、进一步加强理论学习，及时了解把握国家及福建省的工作重心和政策法规，努力提高自己的思想觉悟，加大改革力度。</w:t>
      </w:r>
    </w:p>
    <w:p>
      <w:pPr>
        <w:spacing w:line="400" w:lineRule="exact"/>
        <w:ind w:firstLine="480" w:firstLineChars="200"/>
        <w:rPr>
          <w:lang w:eastAsia="zh-CN"/>
        </w:rPr>
      </w:pPr>
      <w:r>
        <w:rPr>
          <w:rFonts w:hint="eastAsia"/>
          <w:lang w:eastAsia="zh-CN"/>
        </w:rPr>
        <w:t>2、不断改进工作作风，做到从大处着眼，从小处入手，细致入微地做好各项工作。</w:t>
      </w:r>
    </w:p>
    <w:p>
      <w:pPr>
        <w:spacing w:line="400" w:lineRule="exact"/>
        <w:ind w:firstLine="480" w:firstLineChars="200"/>
        <w:rPr>
          <w:lang w:eastAsia="zh-CN"/>
        </w:rPr>
      </w:pPr>
      <w:r>
        <w:rPr>
          <w:rFonts w:hint="eastAsia"/>
          <w:lang w:eastAsia="zh-CN"/>
        </w:rPr>
        <w:t>3、克服工作中的急躁情结，为学校发展而努力工作。</w:t>
      </w:r>
    </w:p>
    <w:p>
      <w:pPr>
        <w:spacing w:line="400" w:lineRule="exact"/>
        <w:ind w:firstLine="480" w:firstLineChars="200"/>
        <w:rPr>
          <w:lang w:eastAsia="zh-CN"/>
        </w:rPr>
      </w:pPr>
      <w:r>
        <w:rPr>
          <w:rFonts w:hint="eastAsia"/>
          <w:lang w:eastAsia="zh-CN"/>
        </w:rPr>
        <w:t>4、进一步深入基层调研，了解基层工作的难点，努力协调解决基层的实际问题，提高工作效率和工作水平。</w:t>
      </w:r>
    </w:p>
    <w:p>
      <w:pPr>
        <w:spacing w:line="400" w:lineRule="exact"/>
        <w:ind w:firstLine="482" w:firstLineChars="200"/>
        <w:rPr>
          <w:b/>
          <w:lang w:eastAsia="zh-CN"/>
        </w:rPr>
      </w:pPr>
      <w:r>
        <w:rPr>
          <w:rFonts w:hint="eastAsia"/>
          <w:b/>
          <w:lang w:eastAsia="zh-CN"/>
        </w:rPr>
        <w:t>回顾2013年，自己在工作中能能始终坚持党风廉政建设，以身作则、秉公做事、廉洁自律。能认真履行处长职责，结合学校现实情况制定好研究生处的工作任务和目标，并与全处同志一齐努力实施。</w:t>
      </w:r>
    </w:p>
    <w:p>
      <w:pPr>
        <w:spacing w:line="400" w:lineRule="exact"/>
        <w:ind w:firstLine="482" w:firstLineChars="200"/>
        <w:rPr>
          <w:b/>
          <w:lang w:eastAsia="zh-CN"/>
        </w:rPr>
      </w:pPr>
      <w:r>
        <w:rPr>
          <w:rFonts w:hint="eastAsia"/>
          <w:b/>
          <w:lang w:eastAsia="zh-CN"/>
        </w:rPr>
        <w:t>工作中得到了各研究生培养单位的全力支持，也得到了上级领导及相关部门的关心与帮助，在此表示感谢！</w:t>
      </w:r>
    </w:p>
    <w:p>
      <w:pPr>
        <w:spacing w:line="400" w:lineRule="exact"/>
        <w:ind w:firstLine="482" w:firstLineChars="200"/>
        <w:rPr>
          <w:b/>
          <w:lang w:eastAsia="zh-CN"/>
        </w:rPr>
      </w:pPr>
      <w:r>
        <w:rPr>
          <w:rFonts w:hint="eastAsia"/>
          <w:b/>
          <w:lang w:eastAsia="zh-CN"/>
        </w:rPr>
        <w:t xml:space="preserve">                                     </w:t>
      </w:r>
    </w:p>
    <w:p>
      <w:pPr>
        <w:spacing w:line="400" w:lineRule="exact"/>
        <w:ind w:firstLine="4614" w:firstLineChars="1915"/>
        <w:rPr>
          <w:b/>
          <w:lang w:eastAsia="zh-CN"/>
        </w:rPr>
      </w:pPr>
      <w:r>
        <w:rPr>
          <w:rFonts w:hint="eastAsia"/>
          <w:b/>
          <w:lang w:eastAsia="zh-CN"/>
        </w:rPr>
        <w:t xml:space="preserve"> </w:t>
      </w:r>
      <w:r>
        <w:rPr>
          <w:b/>
          <w:lang w:eastAsia="zh-CN"/>
        </w:rPr>
        <w:t>2013/1</w:t>
      </w:r>
      <w:r>
        <w:rPr>
          <w:rFonts w:hint="eastAsia"/>
          <w:b/>
          <w:lang w:eastAsia="zh-CN"/>
        </w:rPr>
        <w:t>2</w:t>
      </w:r>
      <w:r>
        <w:rPr>
          <w:b/>
          <w:lang w:eastAsia="zh-CN"/>
        </w:rPr>
        <w:t>/</w:t>
      </w:r>
      <w:r>
        <w:rPr>
          <w:rFonts w:hint="eastAsia"/>
          <w:b/>
          <w:lang w:eastAsia="zh-CN"/>
        </w:rPr>
        <w:t>9</w:t>
      </w:r>
    </w:p>
    <w:p>
      <w:pPr>
        <w:spacing w:line="400" w:lineRule="exact"/>
        <w:rPr>
          <w:lang w:eastAsia="zh-CN"/>
        </w:rPr>
      </w:pPr>
    </w:p>
    <w:sectPr>
      <w:pgSz w:w="11906" w:h="16838"/>
      <w:pgMar w:top="1440" w:right="1800" w:bottom="1440" w:left="1800" w:header="851" w:footer="992" w:gutter="0"/>
      <w:cols w:space="425"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spacing w:after="0" w:line="240" w:lineRule="auto"/>
    </w:pPr>
    <w:rPr>
      <w:rFonts w:ascii="Calibri" w:hAnsi="Calibri" w:eastAsia="宋体" w:cs="Times New Roman"/>
      <w:sz w:val="24"/>
      <w:szCs w:val="24"/>
      <w:lang w:val="en-US" w:eastAsia="en-US" w:bidi="en-US"/>
    </w:rPr>
  </w:style>
  <w:style w:type="paragraph" w:styleId="2">
    <w:name w:val="heading 1"/>
    <w:basedOn w:val="1"/>
    <w:next w:val="1"/>
    <w:link w:val="3"/>
    <w:pPr>
      <w:keepNext/>
      <w:spacing w:before="240" w:after="60"/>
      <w:outlineLvl w:val="0"/>
    </w:pPr>
    <w:rPr>
      <w:rFonts w:ascii="Cambria" w:hAnsi="Cambria" w:eastAsia="宋体"/>
      <w:b/>
      <w:bCs/>
      <w:kern w:val="32"/>
      <w:sz w:val="32"/>
      <w:szCs w:val="32"/>
    </w:rPr>
  </w:style>
  <w:style w:type="paragraph" w:styleId="5">
    <w:name w:val="heading 2"/>
    <w:basedOn w:val="1"/>
    <w:next w:val="1"/>
    <w:link w:val="6"/>
    <w:pPr>
      <w:keepNext/>
      <w:spacing w:before="240" w:after="60"/>
      <w:outlineLvl w:val="1"/>
    </w:pPr>
    <w:rPr>
      <w:rFonts w:ascii="Cambria" w:hAnsi="Cambria" w:eastAsia="宋体"/>
      <w:b/>
      <w:bCs/>
      <w:i/>
      <w:iCs/>
      <w:sz w:val="28"/>
      <w:szCs w:val="28"/>
    </w:rPr>
  </w:style>
  <w:style w:type="paragraph" w:styleId="7">
    <w:name w:val="heading 3"/>
    <w:basedOn w:val="1"/>
    <w:next w:val="1"/>
    <w:link w:val="8"/>
    <w:pPr>
      <w:keepNext/>
      <w:spacing w:before="240" w:after="60"/>
      <w:outlineLvl w:val="2"/>
    </w:pPr>
    <w:rPr>
      <w:rFonts w:ascii="Cambria" w:hAnsi="Cambria" w:eastAsia="宋体"/>
      <w:b/>
      <w:bCs/>
      <w:sz w:val="26"/>
      <w:szCs w:val="26"/>
    </w:rPr>
  </w:style>
  <w:style w:type="paragraph" w:styleId="9">
    <w:name w:val="heading 4"/>
    <w:basedOn w:val="1"/>
    <w:next w:val="1"/>
    <w:link w:val="10"/>
    <w:pPr>
      <w:keepNext/>
      <w:spacing w:before="240" w:after="60"/>
      <w:outlineLvl w:val="3"/>
    </w:pPr>
    <w:rPr>
      <w:b/>
      <w:bCs/>
      <w:sz w:val="28"/>
      <w:szCs w:val="28"/>
    </w:rPr>
  </w:style>
  <w:style w:type="paragraph" w:styleId="11">
    <w:name w:val="heading 5"/>
    <w:basedOn w:val="1"/>
    <w:next w:val="1"/>
    <w:link w:val="12"/>
    <w:pPr>
      <w:spacing w:before="240" w:after="60"/>
      <w:outlineLvl w:val="4"/>
    </w:pPr>
    <w:rPr>
      <w:b/>
      <w:bCs/>
      <w:i/>
      <w:iCs/>
      <w:sz w:val="26"/>
      <w:szCs w:val="26"/>
    </w:rPr>
  </w:style>
  <w:style w:type="paragraph" w:styleId="13">
    <w:name w:val="heading 6"/>
    <w:basedOn w:val="1"/>
    <w:next w:val="1"/>
    <w:link w:val="14"/>
    <w:pPr>
      <w:spacing w:before="240" w:after="60"/>
      <w:outlineLvl w:val="5"/>
    </w:pPr>
    <w:rPr>
      <w:b/>
      <w:bCs/>
    </w:rPr>
  </w:style>
  <w:style w:type="paragraph" w:styleId="15">
    <w:name w:val="heading 7"/>
    <w:basedOn w:val="1"/>
    <w:next w:val="1"/>
    <w:link w:val="16"/>
    <w:pPr>
      <w:spacing w:before="240" w:after="60"/>
      <w:outlineLvl w:val="6"/>
    </w:pPr>
    <w:rPr>
      <w:sz w:val="24"/>
      <w:szCs w:val="24"/>
    </w:rPr>
  </w:style>
  <w:style w:type="paragraph" w:styleId="17">
    <w:name w:val="heading 8"/>
    <w:basedOn w:val="1"/>
    <w:next w:val="1"/>
    <w:link w:val="18"/>
    <w:pPr>
      <w:spacing w:before="240" w:after="60"/>
      <w:outlineLvl w:val="7"/>
    </w:pPr>
    <w:rPr>
      <w:i/>
      <w:iCs/>
      <w:sz w:val="24"/>
      <w:szCs w:val="24"/>
    </w:rPr>
  </w:style>
  <w:style w:type="paragraph" w:styleId="19">
    <w:name w:val="heading 9"/>
    <w:basedOn w:val="1"/>
    <w:next w:val="1"/>
    <w:link w:val="20"/>
    <w:pPr>
      <w:spacing w:before="240" w:after="60"/>
      <w:outlineLvl w:val="8"/>
    </w:pPr>
    <w:rPr>
      <w:rFonts w:ascii="Cambria" w:hAnsi="Cambria" w:eastAsia="宋体"/>
    </w:rPr>
  </w:style>
  <w:style w:type="character" w:default="1" w:styleId="4">
    <w:name w:val="Default Paragraph Font"/>
  </w:style>
  <w:style w:type="character" w:customStyle="1" w:styleId="3">
    <w:name w:val="标题 1 Char"/>
    <w:basedOn w:val="4"/>
    <w:link w:val="2"/>
    <w:semiHidden/>
    <w:rPr>
      <w:rFonts w:ascii="Cambria" w:hAnsi="Cambria" w:eastAsia="宋体"/>
      <w:b/>
      <w:bCs/>
      <w:kern w:val="32"/>
      <w:sz w:val="32"/>
      <w:szCs w:val="32"/>
    </w:rPr>
  </w:style>
  <w:style w:type="character" w:customStyle="1" w:styleId="6">
    <w:name w:val="标题 2 Char"/>
    <w:basedOn w:val="4"/>
    <w:link w:val="5"/>
    <w:semiHidden/>
    <w:rPr>
      <w:rFonts w:ascii="Cambria" w:hAnsi="Cambria" w:eastAsia="宋体"/>
      <w:b/>
      <w:bCs/>
      <w:i/>
      <w:iCs/>
      <w:sz w:val="28"/>
      <w:szCs w:val="28"/>
    </w:rPr>
  </w:style>
  <w:style w:type="character" w:customStyle="1" w:styleId="8">
    <w:name w:val="标题 3 Char"/>
    <w:basedOn w:val="4"/>
    <w:link w:val="7"/>
    <w:semiHidden/>
    <w:rPr>
      <w:rFonts w:ascii="Cambria" w:hAnsi="Cambria" w:eastAsia="宋体"/>
      <w:b/>
      <w:bCs/>
      <w:sz w:val="26"/>
      <w:szCs w:val="26"/>
    </w:rPr>
  </w:style>
  <w:style w:type="character" w:customStyle="1" w:styleId="10">
    <w:name w:val="标题 4 Char"/>
    <w:basedOn w:val="4"/>
    <w:link w:val="9"/>
    <w:semiHidden/>
    <w:rPr>
      <w:b/>
      <w:bCs/>
      <w:sz w:val="28"/>
      <w:szCs w:val="28"/>
    </w:rPr>
  </w:style>
  <w:style w:type="character" w:customStyle="1" w:styleId="12">
    <w:name w:val="标题 5 Char"/>
    <w:basedOn w:val="4"/>
    <w:link w:val="11"/>
    <w:semiHidden/>
    <w:rPr>
      <w:b/>
      <w:bCs/>
      <w:i/>
      <w:iCs/>
      <w:sz w:val="26"/>
      <w:szCs w:val="26"/>
    </w:rPr>
  </w:style>
  <w:style w:type="character" w:customStyle="1" w:styleId="14">
    <w:name w:val="标题 6 Char"/>
    <w:basedOn w:val="4"/>
    <w:link w:val="13"/>
    <w:semiHidden/>
    <w:rPr>
      <w:b/>
      <w:bCs/>
    </w:rPr>
  </w:style>
  <w:style w:type="character" w:customStyle="1" w:styleId="16">
    <w:name w:val="标题 7 Char"/>
    <w:basedOn w:val="4"/>
    <w:link w:val="15"/>
    <w:semiHidden/>
    <w:rPr>
      <w:sz w:val="24"/>
      <w:szCs w:val="24"/>
    </w:rPr>
  </w:style>
  <w:style w:type="character" w:customStyle="1" w:styleId="18">
    <w:name w:val="标题 8 Char"/>
    <w:basedOn w:val="4"/>
    <w:link w:val="17"/>
    <w:semiHidden/>
    <w:rPr>
      <w:i/>
      <w:iCs/>
      <w:sz w:val="24"/>
      <w:szCs w:val="24"/>
    </w:rPr>
  </w:style>
  <w:style w:type="character" w:customStyle="1" w:styleId="20">
    <w:name w:val="标题 9 Char"/>
    <w:basedOn w:val="4"/>
    <w:link w:val="19"/>
    <w:semiHidden/>
    <w:rPr>
      <w:rFonts w:ascii="Cambria" w:hAnsi="Cambria" w:eastAsia="宋体"/>
    </w:rPr>
  </w:style>
  <w:style w:type="paragraph" w:styleId="21">
    <w:name w:val="Block Text"/>
    <w:basedOn w:val="1"/>
    <w:next w:val="1"/>
    <w:link w:val="36"/>
    <w:rPr>
      <w:i/>
      <w:sz w:val="24"/>
      <w:szCs w:val="24"/>
    </w:rPr>
  </w:style>
  <w:style w:type="paragraph" w:styleId="22">
    <w:name w:val="footer"/>
    <w:basedOn w:val="1"/>
    <w:link w:val="23"/>
    <w:pPr>
      <w:tabs>
        <w:tab w:val="center" w:pos="4153"/>
        <w:tab w:val="right" w:pos="8306"/>
      </w:tabs>
      <w:snapToGrid w:val="0"/>
    </w:pPr>
    <w:rPr>
      <w:sz w:val="18"/>
      <w:szCs w:val="18"/>
    </w:rPr>
  </w:style>
  <w:style w:type="character" w:customStyle="1" w:styleId="23">
    <w:name w:val="页脚 Char"/>
    <w:basedOn w:val="4"/>
    <w:link w:val="22"/>
    <w:semiHidden/>
    <w:rPr>
      <w:sz w:val="18"/>
      <w:szCs w:val="18"/>
    </w:rPr>
  </w:style>
  <w:style w:type="paragraph" w:styleId="24">
    <w:name w:val="header"/>
    <w:basedOn w:val="1"/>
    <w:link w:val="25"/>
    <w:pPr>
      <w:pBdr>
        <w:bottom w:val="single" w:color="auto" w:sz="6" w:space="1"/>
      </w:pBdr>
      <w:tabs>
        <w:tab w:val="center" w:pos="4153"/>
        <w:tab w:val="right" w:pos="8306"/>
      </w:tabs>
      <w:snapToGrid w:val="0"/>
      <w:jc w:val="center"/>
    </w:pPr>
    <w:rPr>
      <w:sz w:val="18"/>
      <w:szCs w:val="18"/>
    </w:rPr>
  </w:style>
  <w:style w:type="character" w:customStyle="1" w:styleId="25">
    <w:name w:val="页眉 Char"/>
    <w:basedOn w:val="4"/>
    <w:link w:val="24"/>
    <w:semiHidden/>
    <w:rPr>
      <w:sz w:val="18"/>
      <w:szCs w:val="18"/>
    </w:rPr>
  </w:style>
  <w:style w:type="paragraph" w:styleId="26">
    <w:name w:val="Subtitle"/>
    <w:basedOn w:val="1"/>
    <w:next w:val="1"/>
    <w:link w:val="27"/>
    <w:pPr>
      <w:spacing w:after="60"/>
      <w:jc w:val="center"/>
      <w:outlineLvl w:val="1"/>
    </w:pPr>
    <w:rPr>
      <w:rFonts w:ascii="Cambria" w:hAnsi="Cambria" w:eastAsia="宋体"/>
      <w:sz w:val="24"/>
      <w:szCs w:val="24"/>
    </w:rPr>
  </w:style>
  <w:style w:type="character" w:customStyle="1" w:styleId="27">
    <w:name w:val="副标题 Char"/>
    <w:basedOn w:val="4"/>
    <w:link w:val="26"/>
    <w:semiHidden/>
    <w:rPr>
      <w:rFonts w:ascii="Cambria" w:hAnsi="Cambria" w:eastAsia="宋体"/>
      <w:sz w:val="24"/>
      <w:szCs w:val="24"/>
    </w:rPr>
  </w:style>
  <w:style w:type="paragraph" w:styleId="28">
    <w:name w:val="Title"/>
    <w:basedOn w:val="1"/>
    <w:next w:val="1"/>
    <w:link w:val="29"/>
    <w:pPr>
      <w:spacing w:before="240" w:after="60"/>
      <w:jc w:val="center"/>
      <w:outlineLvl w:val="0"/>
    </w:pPr>
    <w:rPr>
      <w:rFonts w:ascii="Cambria" w:hAnsi="Cambria" w:eastAsia="宋体"/>
      <w:b/>
      <w:bCs/>
      <w:kern w:val="28"/>
      <w:sz w:val="32"/>
      <w:szCs w:val="32"/>
    </w:rPr>
  </w:style>
  <w:style w:type="character" w:customStyle="1" w:styleId="29">
    <w:name w:val="标题 Char"/>
    <w:basedOn w:val="4"/>
    <w:link w:val="28"/>
    <w:semiHidden/>
    <w:rPr>
      <w:rFonts w:ascii="Cambria" w:hAnsi="Cambria" w:eastAsia="宋体"/>
      <w:b/>
      <w:bCs/>
      <w:kern w:val="28"/>
      <w:sz w:val="32"/>
      <w:szCs w:val="32"/>
    </w:rPr>
  </w:style>
  <w:style w:type="character" w:styleId="30">
    <w:name w:val="Strong"/>
    <w:basedOn w:val="4"/>
    <w:rPr>
      <w:b/>
      <w:bCs/>
    </w:rPr>
  </w:style>
  <w:style w:type="character" w:styleId="31">
    <w:name w:val="Emphasis"/>
    <w:basedOn w:val="4"/>
    <w:rPr>
      <w:rFonts w:ascii="Calibri" w:hAnsi="Calibri"/>
      <w:b/>
      <w:i/>
      <w:iCs/>
    </w:rPr>
  </w:style>
  <w:style w:type="paragraph" w:customStyle="1" w:styleId="32">
    <w:name w:val="No Spacing"/>
    <w:basedOn w:val="1"/>
    <w:rPr>
      <w:rFonts w:ascii="Calibri" w:hAnsi="Calibri" w:eastAsia="宋体" w:cs="Times New Roman"/>
      <w:sz w:val="22"/>
      <w:szCs w:val="32"/>
      <w:lang w:val="en-US" w:eastAsia="en-US" w:bidi="en-US"/>
    </w:rPr>
  </w:style>
  <w:style w:type="paragraph" w:customStyle="1" w:styleId="33">
    <w:name w:val="List Paragraph"/>
    <w:basedOn w:val="1"/>
    <w:pPr>
      <w:ind w:left="720"/>
      <w:contextualSpacing/>
    </w:pPr>
  </w:style>
  <w:style w:type="paragraph" w:customStyle="1" w:styleId="34">
    <w:name w:val="Intense Quote"/>
    <w:basedOn w:val="1"/>
    <w:next w:val="1"/>
    <w:link w:val="37"/>
    <w:pPr>
      <w:ind w:left="720" w:right="720"/>
    </w:pPr>
    <w:rPr>
      <w:b/>
      <w:i/>
      <w:sz w:val="24"/>
    </w:rPr>
  </w:style>
  <w:style w:type="paragraph" w:customStyle="1" w:styleId="35">
    <w:name w:val="TOC Heading"/>
    <w:basedOn w:val="2"/>
    <w:next w:val="1"/>
    <w:pPr>
      <w:outlineLvl w:val="9"/>
    </w:pPr>
  </w:style>
  <w:style w:type="character" w:customStyle="1" w:styleId="36">
    <w:name w:val="引用 Char"/>
    <w:basedOn w:val="4"/>
    <w:link w:val="21"/>
    <w:semiHidden/>
    <w:rPr>
      <w:i/>
      <w:sz w:val="24"/>
      <w:szCs w:val="24"/>
    </w:rPr>
  </w:style>
  <w:style w:type="character" w:customStyle="1" w:styleId="37">
    <w:name w:val="明显引用 Char"/>
    <w:basedOn w:val="4"/>
    <w:link w:val="34"/>
    <w:semiHidden/>
    <w:rPr>
      <w:b/>
      <w:i/>
      <w:sz w:val="24"/>
    </w:rPr>
  </w:style>
  <w:style w:type="character" w:customStyle="1" w:styleId="38">
    <w:name w:val="Subtle Emphasis"/>
    <w:rPr>
      <w:i/>
      <w:color w:val="595959"/>
    </w:rPr>
  </w:style>
  <w:style w:type="character" w:customStyle="1" w:styleId="39">
    <w:name w:val="Intense Emphasis"/>
    <w:basedOn w:val="4"/>
    <w:rPr>
      <w:b/>
      <w:i/>
      <w:sz w:val="24"/>
      <w:szCs w:val="24"/>
      <w:u w:val="single"/>
    </w:rPr>
  </w:style>
  <w:style w:type="character" w:customStyle="1" w:styleId="40">
    <w:name w:val="Subtle Reference"/>
    <w:basedOn w:val="4"/>
    <w:rPr>
      <w:sz w:val="24"/>
      <w:szCs w:val="24"/>
      <w:u w:val="single"/>
    </w:rPr>
  </w:style>
  <w:style w:type="character" w:customStyle="1" w:styleId="41">
    <w:name w:val="Intense Reference"/>
    <w:basedOn w:val="4"/>
    <w:rPr>
      <w:b/>
      <w:sz w:val="24"/>
      <w:u w:val="single"/>
    </w:rPr>
  </w:style>
  <w:style w:type="character" w:customStyle="1" w:styleId="42">
    <w:name w:val="Book Title"/>
    <w:basedOn w:val="4"/>
    <w:rPr>
      <w:rFonts w:ascii="Cambria" w:hAnsi="Cambria" w:eastAsia="宋体"/>
      <w:b/>
      <w:i/>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268</Words>
  <Characters>1532</Characters>
  <Lines>12</Lines>
  <Paragraphs>3</Paragraphs>
  <TotalTime>0</TotalTime>
  <ScaleCrop>false</ScaleCrop>
  <LinksUpToDate>false</LinksUpToDate>
  <CharactersWithSpaces>0</CharactersWithSpaces>
  <Application>WPS Office 个人版_9.1.0.4249</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2013-01-09T12:04:00Z</dcterms:created>
  <dc:creator>lenovo</dc:creator>
  <cp:lastModifiedBy>Administrator</cp:lastModifiedBy>
  <dcterms:modified xsi:type="dcterms:W3CDTF">2013-12-13T03:12:13Z</dcterms:modified>
  <dc:title>述 职 报 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